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" w:type="dxa"/>
        <w:tblLook w:val="0000" w:firstRow="0" w:lastRow="0" w:firstColumn="0" w:lastColumn="0" w:noHBand="0" w:noVBand="0"/>
      </w:tblPr>
      <w:tblGrid>
        <w:gridCol w:w="3419"/>
        <w:gridCol w:w="4907"/>
      </w:tblGrid>
      <w:tr w:rsidR="0075163E" w:rsidTr="000A2F11">
        <w:trPr>
          <w:trHeight w:val="2809"/>
        </w:trPr>
        <w:tc>
          <w:tcPr>
            <w:tcW w:w="3419" w:type="dxa"/>
          </w:tcPr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bookmarkStart w:id="0" w:name="_GoBack"/>
            <w:bookmarkEnd w:id="0"/>
            <w:r w:rsidRPr="00866806">
              <w:rPr>
                <w:b/>
                <w:noProof/>
                <w:sz w:val="22"/>
                <w:szCs w:val="28"/>
              </w:rPr>
              <w:t>Naziv obveznika: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Broj RKP-a: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Sjedište obveznika: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Matični broj: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Adresa sjedišta obveznika: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OIB:        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Razina: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Razdjel: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  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Šifra djelatnosti prema NKD-u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2007:                 </w:t>
            </w:r>
            <w:r w:rsidR="00866806" w:rsidRPr="00866806">
              <w:rPr>
                <w:b/>
                <w:noProof/>
                <w:sz w:val="22"/>
                <w:szCs w:val="28"/>
              </w:rPr>
              <w:t xml:space="preserve">          </w:t>
            </w:r>
          </w:p>
          <w:p w:rsidR="0075163E" w:rsidRPr="00866806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b/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 xml:space="preserve">Šifra županije:           </w:t>
            </w:r>
          </w:p>
          <w:p w:rsidR="0075163E" w:rsidRDefault="0075163E" w:rsidP="00866806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 w:rsidRPr="00866806">
              <w:rPr>
                <w:b/>
                <w:noProof/>
                <w:sz w:val="22"/>
                <w:szCs w:val="28"/>
              </w:rPr>
              <w:t>Šifra grada/općine:</w:t>
            </w:r>
            <w:r>
              <w:rPr>
                <w:noProof/>
                <w:sz w:val="22"/>
                <w:szCs w:val="28"/>
              </w:rPr>
              <w:t xml:space="preserve">  </w:t>
            </w:r>
          </w:p>
        </w:tc>
        <w:tc>
          <w:tcPr>
            <w:tcW w:w="4907" w:type="dxa"/>
          </w:tcPr>
          <w:p w:rsidR="0075163E" w:rsidRDefault="0075163E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OSNOVNA ŠKOLA GORIČAN</w:t>
            </w:r>
          </w:p>
          <w:p w:rsidR="0075163E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13692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GORIČAN 40324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03108988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Školska 16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81340739070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31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-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8520 – osnovno obrazovanje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20 – Međimurska županija</w:t>
            </w:r>
          </w:p>
          <w:p w:rsidR="00866806" w:rsidRDefault="00866806" w:rsidP="0075163E">
            <w:pPr>
              <w:widowControl w:val="0"/>
              <w:autoSpaceDE w:val="0"/>
              <w:autoSpaceDN w:val="0"/>
              <w:adjustRightInd w:val="0"/>
              <w:ind w:left="-3"/>
              <w:rPr>
                <w:noProof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t>123 – Općina Goričan</w:t>
            </w:r>
          </w:p>
        </w:tc>
      </w:tr>
    </w:tbl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  <w:r w:rsidRPr="00A44F31">
        <w:rPr>
          <w:noProof/>
          <w:szCs w:val="28"/>
        </w:rPr>
        <w:t xml:space="preserve">                                                                                </w:t>
      </w:r>
    </w:p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</w:p>
    <w:p w:rsidR="00AD1A32" w:rsidRPr="001B45AA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B45AA">
        <w:rPr>
          <w:b/>
          <w:noProof/>
          <w:sz w:val="28"/>
          <w:szCs w:val="28"/>
        </w:rPr>
        <w:t>B I LJ E Š K E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UZ FINANCIJSKE IZVJEŠTAJE</w:t>
      </w:r>
    </w:p>
    <w:p w:rsidR="00AD1A32" w:rsidRPr="001B45AA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za razdob</w:t>
      </w:r>
      <w:r w:rsidR="003E0EF0">
        <w:rPr>
          <w:b/>
          <w:noProof/>
          <w:sz w:val="28"/>
          <w:szCs w:val="28"/>
        </w:rPr>
        <w:t>lje od 1. siječnja do 31. prosinca</w:t>
      </w:r>
      <w:r w:rsidR="003D1A98">
        <w:rPr>
          <w:b/>
          <w:noProof/>
          <w:sz w:val="28"/>
          <w:szCs w:val="28"/>
        </w:rPr>
        <w:t xml:space="preserve"> 2023</w:t>
      </w:r>
      <w:r>
        <w:rPr>
          <w:b/>
          <w:noProof/>
          <w:sz w:val="28"/>
          <w:szCs w:val="28"/>
        </w:rPr>
        <w:t>. godine</w:t>
      </w:r>
    </w:p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</w:p>
    <w:p w:rsidR="00AD1A32" w:rsidRPr="00A44F31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 xml:space="preserve"> </w:t>
      </w:r>
    </w:p>
    <w:p w:rsidR="00AD1A32" w:rsidRPr="0024198B" w:rsidRDefault="003D1A98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noProof/>
          <w:szCs w:val="28"/>
        </w:rPr>
        <w:t>Prema čl. 6</w:t>
      </w:r>
      <w:r w:rsidR="00AD1A32" w:rsidRPr="0024198B">
        <w:rPr>
          <w:noProof/>
          <w:szCs w:val="28"/>
        </w:rPr>
        <w:t xml:space="preserve">. Pravilnika o financijskom izvještavanju u proračunskom računovodstvu (NN </w:t>
      </w:r>
      <w:r w:rsidR="008239BD">
        <w:rPr>
          <w:noProof/>
          <w:szCs w:val="28"/>
        </w:rPr>
        <w:t xml:space="preserve">br. </w:t>
      </w:r>
      <w:r w:rsidR="00AD1A32">
        <w:rPr>
          <w:noProof/>
          <w:szCs w:val="28"/>
        </w:rPr>
        <w:t>37/2022</w:t>
      </w:r>
      <w:r w:rsidR="008239BD">
        <w:rPr>
          <w:noProof/>
          <w:szCs w:val="28"/>
        </w:rPr>
        <w:t>., u nastavku teksta: Pravilnik</w:t>
      </w:r>
      <w:r w:rsidR="00AD1A32" w:rsidRPr="0024198B">
        <w:rPr>
          <w:noProof/>
          <w:szCs w:val="28"/>
        </w:rPr>
        <w:t>)</w:t>
      </w:r>
      <w:r w:rsidR="008239BD">
        <w:rPr>
          <w:noProof/>
          <w:szCs w:val="28"/>
        </w:rPr>
        <w:t>, svi</w:t>
      </w:r>
      <w:r w:rsidR="00AD1A32" w:rsidRPr="0024198B">
        <w:rPr>
          <w:noProof/>
          <w:szCs w:val="28"/>
        </w:rPr>
        <w:t xml:space="preserve"> obveznici  proračunskog računovodstva za proračunsku godinu sastavljaju: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Bilancu na Obrascu: BIL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prihodima i rashodima, primicima i izdacima na Obrascu: PR-RAS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rashodima prema funkcijskoj klasifikaciji na Obrascu: RAS-funkcijski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promjenama u vrijednosti i obujmu imovine i obveza na Obrascu: P-VRIO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obvezana na Obrascu: OBVEZE.</w:t>
      </w:r>
    </w:p>
    <w:p w:rsidR="00AD1A32" w:rsidRPr="0024198B" w:rsidRDefault="00AD1A32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 w:rsidRPr="0024198B">
        <w:rPr>
          <w:noProof/>
          <w:szCs w:val="28"/>
        </w:rPr>
        <w:t>Pored navedenih obrazaca financijskih izvještaja, obveznici proračunskog računovodstva za proračunsku godinu sastavljaju i bilješke uz financijske izvještaje koje predstavljaju dopune podataka uz financij</w:t>
      </w:r>
      <w:r>
        <w:rPr>
          <w:noProof/>
          <w:szCs w:val="28"/>
        </w:rPr>
        <w:t>ske izvještaje, propisane čl. 14</w:t>
      </w:r>
      <w:r w:rsidRPr="0024198B">
        <w:rPr>
          <w:noProof/>
          <w:szCs w:val="28"/>
        </w:rPr>
        <w:t>.</w:t>
      </w:r>
      <w:r>
        <w:rPr>
          <w:noProof/>
          <w:szCs w:val="28"/>
        </w:rPr>
        <w:t>, 15. 16. 17. i 18.</w:t>
      </w:r>
      <w:r w:rsidRPr="0024198B">
        <w:rPr>
          <w:noProof/>
          <w:szCs w:val="28"/>
        </w:rPr>
        <w:t xml:space="preserve"> Pravilnika o financijskom izvještavanju u proračunskom računovodstvu.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Pr="00E60D53" w:rsidRDefault="00AD1A3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noProof/>
          <w:szCs w:val="28"/>
          <w:u w:val="single"/>
        </w:rPr>
      </w:pPr>
      <w:r w:rsidRPr="00E60D53">
        <w:rPr>
          <w:b/>
          <w:i/>
          <w:noProof/>
          <w:szCs w:val="28"/>
          <w:u w:val="single"/>
        </w:rPr>
        <w:t>OBRAZAC PR-RAS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0C4F92" w:rsidRDefault="000C4F9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2732"/>
      </w:tblGrid>
      <w:tr w:rsidR="000C4F92" w:rsidRPr="000C4F92" w:rsidTr="000C4F92">
        <w:trPr>
          <w:trHeight w:val="301"/>
        </w:trPr>
        <w:tc>
          <w:tcPr>
            <w:tcW w:w="4724" w:type="dxa"/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Prihodi poslovanja (6):</w:t>
            </w:r>
          </w:p>
        </w:tc>
        <w:tc>
          <w:tcPr>
            <w:tcW w:w="2732" w:type="dxa"/>
          </w:tcPr>
          <w:p w:rsidR="000C4F92" w:rsidRPr="000C4F92" w:rsidRDefault="0046727F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748.665,45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  <w:tr w:rsidR="000C4F92" w:rsidRPr="000C4F92" w:rsidTr="000C4F92">
        <w:trPr>
          <w:trHeight w:val="301"/>
        </w:trPr>
        <w:tc>
          <w:tcPr>
            <w:tcW w:w="4724" w:type="dxa"/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Rashodi poslovanja (3):</w:t>
            </w:r>
          </w:p>
        </w:tc>
        <w:tc>
          <w:tcPr>
            <w:tcW w:w="2732" w:type="dxa"/>
          </w:tcPr>
          <w:p w:rsidR="000C4F92" w:rsidRPr="000C4F92" w:rsidRDefault="0046727F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752.961,28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  <w:tr w:rsidR="000C4F92" w:rsidRPr="000C4F92" w:rsidTr="000C4F92">
        <w:trPr>
          <w:trHeight w:val="301"/>
        </w:trPr>
        <w:tc>
          <w:tcPr>
            <w:tcW w:w="4724" w:type="dxa"/>
            <w:tcBorders>
              <w:bottom w:val="single" w:sz="4" w:space="0" w:color="auto"/>
            </w:tcBorders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Rashodi poslovanja (4):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0C4F92" w:rsidRPr="000C4F92" w:rsidRDefault="0046727F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3.564,82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  <w:tr w:rsidR="000C4F92" w:rsidRPr="000C4F92" w:rsidTr="000C4F92">
        <w:trPr>
          <w:trHeight w:val="288"/>
        </w:trPr>
        <w:tc>
          <w:tcPr>
            <w:tcW w:w="4724" w:type="dxa"/>
            <w:tcBorders>
              <w:top w:val="single" w:sz="4" w:space="0" w:color="auto"/>
            </w:tcBorders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Rezultat poslovanja: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:rsidR="000C4F92" w:rsidRPr="000C4F92" w:rsidRDefault="0046727F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-7.860,66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  <w:tr w:rsidR="000C4F92" w:rsidTr="000C4F92">
        <w:trPr>
          <w:trHeight w:val="301"/>
        </w:trPr>
        <w:tc>
          <w:tcPr>
            <w:tcW w:w="4724" w:type="dxa"/>
          </w:tcPr>
          <w:p w:rsidR="000C4F92" w:rsidRPr="000C4F92" w:rsidRDefault="007F1C47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 w:val="22"/>
                <w:szCs w:val="28"/>
              </w:rPr>
              <w:t>Manjak prihoda za pokriće</w:t>
            </w:r>
            <w:r w:rsidR="000C4F92" w:rsidRPr="000C4F92">
              <w:rPr>
                <w:noProof/>
                <w:sz w:val="22"/>
                <w:szCs w:val="28"/>
              </w:rPr>
              <w:t xml:space="preserve"> u sljedećem razdoblju:</w:t>
            </w:r>
          </w:p>
        </w:tc>
        <w:tc>
          <w:tcPr>
            <w:tcW w:w="2732" w:type="dxa"/>
          </w:tcPr>
          <w:p w:rsidR="000C4F92" w:rsidRPr="000C4F92" w:rsidRDefault="0046727F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7.857,66</w:t>
            </w:r>
            <w:r w:rsidR="003D1A98">
              <w:rPr>
                <w:noProof/>
                <w:szCs w:val="28"/>
              </w:rPr>
              <w:t xml:space="preserve"> eur</w:t>
            </w:r>
          </w:p>
        </w:tc>
      </w:tr>
    </w:tbl>
    <w:p w:rsidR="000C4F92" w:rsidRDefault="000C4F9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6361:</w:t>
      </w:r>
      <w:r w:rsidR="00AD1A32">
        <w:rPr>
          <w:noProof/>
          <w:szCs w:val="28"/>
        </w:rPr>
        <w:t xml:space="preserve"> Tekuće pomoći proračunskim korisnicima </w:t>
      </w:r>
      <w:r w:rsidR="00ED68CE">
        <w:rPr>
          <w:noProof/>
          <w:szCs w:val="28"/>
        </w:rPr>
        <w:t xml:space="preserve">iz proračuna </w:t>
      </w:r>
      <w:r w:rsidR="00AD1A32">
        <w:rPr>
          <w:noProof/>
          <w:szCs w:val="28"/>
        </w:rPr>
        <w:t>koji im nije nadležan – primljena sredstva od Ministarstva za plaće, materijalna prava</w:t>
      </w:r>
      <w:r w:rsidR="00361A1C">
        <w:rPr>
          <w:noProof/>
          <w:szCs w:val="28"/>
        </w:rPr>
        <w:t>,</w:t>
      </w:r>
      <w:r w:rsidR="008E1439">
        <w:rPr>
          <w:noProof/>
          <w:szCs w:val="28"/>
        </w:rPr>
        <w:t xml:space="preserve"> </w:t>
      </w:r>
      <w:r w:rsidR="00CF29FE">
        <w:rPr>
          <w:noProof/>
          <w:szCs w:val="28"/>
        </w:rPr>
        <w:t xml:space="preserve">naknadu za nezapošljavanje određene kvote invalida, </w:t>
      </w:r>
      <w:r w:rsidR="008E1439">
        <w:rPr>
          <w:noProof/>
          <w:szCs w:val="28"/>
        </w:rPr>
        <w:t xml:space="preserve">radne udžbenike, </w:t>
      </w:r>
      <w:r w:rsidR="00CF29FE">
        <w:rPr>
          <w:noProof/>
          <w:szCs w:val="28"/>
        </w:rPr>
        <w:t>dodatne obrazovne materijale za učenike, prehranu učenika,</w:t>
      </w:r>
      <w:r w:rsidR="008E1439">
        <w:rPr>
          <w:noProof/>
          <w:szCs w:val="28"/>
        </w:rPr>
        <w:t>za menstrualne higijenske potrepštine</w:t>
      </w:r>
      <w:r w:rsidR="00CF29FE">
        <w:rPr>
          <w:noProof/>
          <w:szCs w:val="28"/>
        </w:rPr>
        <w:t xml:space="preserve"> te za provođenje projekta</w:t>
      </w:r>
      <w:r w:rsidR="00AD1A32">
        <w:rPr>
          <w:noProof/>
          <w:szCs w:val="28"/>
        </w:rPr>
        <w:t>. Osnovica za izračun plaće je uvećana pa su samim time prihodi za isplatu plaća veći nego u prethodnom razdoblju</w:t>
      </w:r>
    </w:p>
    <w:p w:rsidR="00ED68CE" w:rsidRDefault="00A44F31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lastRenderedPageBreak/>
        <w:t>Šifra</w:t>
      </w:r>
      <w:r w:rsidR="00ED68CE">
        <w:rPr>
          <w:b/>
          <w:noProof/>
          <w:szCs w:val="28"/>
        </w:rPr>
        <w:t xml:space="preserve"> 6362:</w:t>
      </w:r>
      <w:r w:rsidR="00ED68CE">
        <w:rPr>
          <w:noProof/>
          <w:szCs w:val="28"/>
        </w:rPr>
        <w:t xml:space="preserve"> Kapitalne pomoći proračunskim korisnicima iz proračuna koji im nije nadležan – primljena sredstva o</w:t>
      </w:r>
      <w:r w:rsidR="008E1439">
        <w:rPr>
          <w:noProof/>
          <w:szCs w:val="28"/>
        </w:rPr>
        <w:t>d Ministarstva za nabavu</w:t>
      </w:r>
      <w:r w:rsidR="00361A1C">
        <w:rPr>
          <w:noProof/>
          <w:szCs w:val="28"/>
        </w:rPr>
        <w:t xml:space="preserve"> udžbenika</w:t>
      </w:r>
      <w:r w:rsidR="00CF29FE">
        <w:rPr>
          <w:noProof/>
          <w:szCs w:val="28"/>
        </w:rPr>
        <w:t xml:space="preserve"> i opremanje knjižnice lektirom</w:t>
      </w:r>
    </w:p>
    <w:p w:rsidR="008E1439" w:rsidRDefault="00A44F31" w:rsidP="008E143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6381:</w:t>
      </w:r>
      <w:r w:rsidR="00AD1A32">
        <w:rPr>
          <w:noProof/>
          <w:szCs w:val="28"/>
        </w:rPr>
        <w:t xml:space="preserve"> Tekuće pomoći iz proračuna JLP(R)S temeljem </w:t>
      </w:r>
      <w:r w:rsidR="00CF29FE">
        <w:rPr>
          <w:noProof/>
          <w:szCs w:val="28"/>
        </w:rPr>
        <w:t xml:space="preserve">prijenosa EU sredstava – </w:t>
      </w:r>
      <w:r w:rsidR="008E1439">
        <w:rPr>
          <w:noProof/>
          <w:szCs w:val="28"/>
        </w:rPr>
        <w:t>u prethodnom</w:t>
      </w:r>
      <w:r w:rsidR="00AD1A32">
        <w:rPr>
          <w:noProof/>
          <w:szCs w:val="28"/>
        </w:rPr>
        <w:t xml:space="preserve"> razdoblju doznačena sredstva koja se odnose na troškove iz razdoblja 2021. godine</w:t>
      </w:r>
      <w:r w:rsidR="008E1439">
        <w:rPr>
          <w:noProof/>
          <w:szCs w:val="28"/>
        </w:rPr>
        <w:t xml:space="preserve">, a u tekućem za projekt </w:t>
      </w:r>
      <w:r w:rsidR="00CF29FE">
        <w:rPr>
          <w:noProof/>
          <w:szCs w:val="28"/>
        </w:rPr>
        <w:t>„Školska shema voća i povrća“ iz 2022. te 2023. godine</w:t>
      </w:r>
    </w:p>
    <w:p w:rsidR="008E1439" w:rsidRPr="008E1439" w:rsidRDefault="008E1439" w:rsidP="008E143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6413: </w:t>
      </w:r>
      <w:r>
        <w:rPr>
          <w:noProof/>
          <w:szCs w:val="28"/>
        </w:rPr>
        <w:t>Kamate na oročena sredstva i depozite po viđenu: kamate za sredstva na žiro računu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6526:</w:t>
      </w:r>
      <w:r w:rsidR="00AD1A32">
        <w:rPr>
          <w:noProof/>
          <w:szCs w:val="28"/>
        </w:rPr>
        <w:t xml:space="preserve"> Ostali nespomenuti prihodi – </w:t>
      </w:r>
      <w:r w:rsidR="00AA6062">
        <w:rPr>
          <w:noProof/>
          <w:szCs w:val="28"/>
        </w:rPr>
        <w:t xml:space="preserve">sufinanciranje cijene usluge, participacije i slično; prihodi za posebne namjene te ostali prihodi po posebnim propisima: </w:t>
      </w:r>
      <w:r w:rsidR="00AD1A32">
        <w:rPr>
          <w:noProof/>
          <w:szCs w:val="28"/>
        </w:rPr>
        <w:t>prihodi školske kuhinje</w:t>
      </w:r>
      <w:r w:rsidR="00AA6062">
        <w:rPr>
          <w:noProof/>
          <w:szCs w:val="28"/>
        </w:rPr>
        <w:t xml:space="preserve"> od zaposlenika (u prethodnom razdoblju na tom su kontu bili evidentirani i prihodi za školsku kuhinju sufinancirani od strane Općine za učenike, a od tekućeg razdoblja prehranu učenika financira MZO koji su sada knjiženi na konto 63612)</w:t>
      </w:r>
      <w:r w:rsidR="00AD1A32">
        <w:rPr>
          <w:noProof/>
          <w:szCs w:val="28"/>
        </w:rPr>
        <w:t>. Na kontu su knji</w:t>
      </w:r>
      <w:r w:rsidR="00AA6062">
        <w:rPr>
          <w:noProof/>
          <w:szCs w:val="28"/>
        </w:rPr>
        <w:t>ženi i prihodi za izlete učenika</w:t>
      </w:r>
      <w:r w:rsidR="00ED68CE">
        <w:rPr>
          <w:noProof/>
          <w:szCs w:val="28"/>
        </w:rPr>
        <w:t xml:space="preserve">. Isti konto iskazuje i prihode </w:t>
      </w:r>
      <w:r w:rsidR="00AA6062">
        <w:rPr>
          <w:noProof/>
          <w:szCs w:val="28"/>
        </w:rPr>
        <w:t>za pokrivanje</w:t>
      </w:r>
      <w:r w:rsidR="00EC04DE">
        <w:rPr>
          <w:noProof/>
          <w:szCs w:val="28"/>
        </w:rPr>
        <w:t xml:space="preserve"> troškova popravka tableta (trošak nastao zbog krivnje učenika)</w:t>
      </w:r>
      <w:r w:rsidR="00897129">
        <w:rPr>
          <w:noProof/>
          <w:szCs w:val="28"/>
        </w:rPr>
        <w:t>, za troškove ispita učenika i pretplatu učenika za časopise</w:t>
      </w:r>
      <w:r w:rsidR="00342F5B">
        <w:rPr>
          <w:noProof/>
          <w:szCs w:val="28"/>
        </w:rPr>
        <w:t xml:space="preserve"> te za fotografije razreda. Na kontu se nalazi i prihod od MŠSS za nabavu sportske opreme za nastavu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6615:</w:t>
      </w:r>
      <w:r w:rsidR="00AD1A32">
        <w:rPr>
          <w:noProof/>
          <w:szCs w:val="28"/>
        </w:rPr>
        <w:t xml:space="preserve"> Prihodi od pruženih usluga – najam školske sportske dvorane va</w:t>
      </w:r>
      <w:r w:rsidR="00AA6062">
        <w:rPr>
          <w:noProof/>
          <w:szCs w:val="28"/>
        </w:rPr>
        <w:t>njskim korisnicima: u tekućem</w:t>
      </w:r>
      <w:r w:rsidR="00AD1A32">
        <w:rPr>
          <w:noProof/>
          <w:szCs w:val="28"/>
        </w:rPr>
        <w:t xml:space="preserve"> razdoblju </w:t>
      </w:r>
      <w:r w:rsidR="00AA6062">
        <w:rPr>
          <w:noProof/>
          <w:szCs w:val="28"/>
        </w:rPr>
        <w:t>prostor dvorane koristi se kroz cijelo razdoblje, za razliku od prethodnog kada nije bilo potrebe za najam cijelog razdoblja</w:t>
      </w:r>
      <w:r w:rsidR="00342F5B">
        <w:rPr>
          <w:noProof/>
          <w:szCs w:val="28"/>
        </w:rPr>
        <w:t>. Dio korisnika u tekućem razdoblju prostor dvorane koristi bez obračuna naknade, pa je samim time prihod manji od prethodnog razdoblja</w:t>
      </w:r>
    </w:p>
    <w:p w:rsidR="00342F5B" w:rsidRDefault="00342F5B" w:rsidP="00342F5B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6631: </w:t>
      </w:r>
      <w:r>
        <w:rPr>
          <w:noProof/>
          <w:szCs w:val="28"/>
        </w:rPr>
        <w:t>Tekuće donacije – Škola je sudjelovala u akciji Konzuma pod nazivom „Mali veliki talenti“ u sklopu koje je za prikupljene kupone Škola dobila donaciju opreme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6711: </w:t>
      </w:r>
      <w:r w:rsidR="00AD1A32">
        <w:rPr>
          <w:noProof/>
          <w:szCs w:val="28"/>
        </w:rPr>
        <w:t>Prihodi iz nadležnog proračuna za financiranje rashoda poslovanja – prihodi od Međimurske županije za potrebe redovnog poslovanja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3111:</w:t>
      </w:r>
      <w:r w:rsidR="00AD1A32">
        <w:rPr>
          <w:noProof/>
          <w:szCs w:val="28"/>
        </w:rPr>
        <w:t xml:space="preserve"> Plaće za redovan rad – plaće zaposlenima za redovan rad financirane iz proračuna Ministarstva</w:t>
      </w:r>
      <w:r w:rsidR="00C0405A">
        <w:rPr>
          <w:noProof/>
          <w:szCs w:val="28"/>
        </w:rPr>
        <w:t xml:space="preserve"> (u tekućem razdoblju niži iznos zbog preraspodjele iznosa na više konta kod knjiženja)</w:t>
      </w:r>
    </w:p>
    <w:p w:rsidR="00C0405A" w:rsidRPr="00C0405A" w:rsidRDefault="00C0405A" w:rsidP="00C0405A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312: </w:t>
      </w:r>
      <w:r>
        <w:rPr>
          <w:noProof/>
          <w:szCs w:val="28"/>
        </w:rPr>
        <w:t>Ostali rashodi za zaposlene – materijalna prava (povećanje zbog povećanih iznosa materijalnih prava)</w:t>
      </w:r>
    </w:p>
    <w:p w:rsidR="00ED68CE" w:rsidRDefault="00A44F31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297663">
        <w:rPr>
          <w:b/>
          <w:noProof/>
          <w:szCs w:val="28"/>
        </w:rPr>
        <w:t xml:space="preserve"> 3131</w:t>
      </w:r>
      <w:r w:rsidR="00ED68CE">
        <w:rPr>
          <w:b/>
          <w:noProof/>
          <w:szCs w:val="28"/>
        </w:rPr>
        <w:t>:</w:t>
      </w:r>
      <w:r w:rsidR="00594A1C">
        <w:rPr>
          <w:noProof/>
          <w:szCs w:val="28"/>
        </w:rPr>
        <w:t xml:space="preserve"> Doprinos za </w:t>
      </w:r>
      <w:r w:rsidR="00297663">
        <w:rPr>
          <w:noProof/>
          <w:szCs w:val="28"/>
        </w:rPr>
        <w:t>mirovinsko osiguranje</w:t>
      </w:r>
      <w:r w:rsidR="00ED68CE">
        <w:rPr>
          <w:noProof/>
          <w:szCs w:val="28"/>
        </w:rPr>
        <w:t xml:space="preserve"> – </w:t>
      </w:r>
      <w:r w:rsidR="00297663">
        <w:rPr>
          <w:noProof/>
          <w:szCs w:val="28"/>
        </w:rPr>
        <w:t>u prethodnom razdoblju nema jer je bilo sadržano u kontu 3111, a preraspodjelom u tekućem razdoblju razdvojeno i proknjiženo odvojeno</w:t>
      </w:r>
    </w:p>
    <w:p w:rsidR="00D74701" w:rsidRPr="00297663" w:rsidRDefault="00A44F31" w:rsidP="0029766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297663">
        <w:rPr>
          <w:b/>
          <w:noProof/>
          <w:szCs w:val="28"/>
        </w:rPr>
        <w:t xml:space="preserve"> 321: </w:t>
      </w:r>
      <w:r w:rsidR="00297663">
        <w:rPr>
          <w:noProof/>
          <w:szCs w:val="28"/>
        </w:rPr>
        <w:t>Službena putovanja, naknade za prijevoz i rad na terenu, stručno usavršavanje zaposlenika te ostale naknade troškova zaposlenika – povećanje u t</w:t>
      </w:r>
      <w:r w:rsidR="00B41367">
        <w:rPr>
          <w:noProof/>
          <w:szCs w:val="28"/>
        </w:rPr>
        <w:t>e</w:t>
      </w:r>
      <w:r w:rsidR="00297663">
        <w:rPr>
          <w:noProof/>
          <w:szCs w:val="28"/>
        </w:rPr>
        <w:t>kućem razdoblju jer su se odvijala stručna usavršavanja u živo (u tekućem razdoblju je više bilo online), održane su terenske nastave, a i nastava se redovno održava u Školi te se isplaćuju redovne nakande za prijevoz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3222:</w:t>
      </w:r>
      <w:r w:rsidR="00AD1A32">
        <w:rPr>
          <w:noProof/>
          <w:szCs w:val="28"/>
        </w:rPr>
        <w:t xml:space="preserve"> Materijal i sirovine - u </w:t>
      </w:r>
      <w:r w:rsidR="00297663">
        <w:rPr>
          <w:noProof/>
          <w:szCs w:val="28"/>
        </w:rPr>
        <w:t>tekućem razdoblju povećana je cijena obroka po učeniku pa je samim time i poboljšana prehrana što rezultira većim troškovima nabave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3223:</w:t>
      </w:r>
      <w:r w:rsidR="00AD1A32">
        <w:rPr>
          <w:noProof/>
          <w:szCs w:val="28"/>
        </w:rPr>
        <w:t xml:space="preserve"> Energija – promjena opskrbljivača električnom energijom i plinom zbog nižih cijena energenata rezultiralo je i nižim troškovima u tekućem razdoblju u odnosu na prethodno razdoblje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3225:</w:t>
      </w:r>
      <w:r w:rsidR="00AD1A32">
        <w:rPr>
          <w:noProof/>
          <w:szCs w:val="28"/>
        </w:rPr>
        <w:t xml:space="preserve"> Sitni </w:t>
      </w:r>
      <w:r w:rsidR="00297663">
        <w:rPr>
          <w:noProof/>
          <w:szCs w:val="28"/>
        </w:rPr>
        <w:t>inventar i auto gume - u prethodnom</w:t>
      </w:r>
      <w:r w:rsidR="00AD1A32">
        <w:rPr>
          <w:noProof/>
          <w:szCs w:val="28"/>
        </w:rPr>
        <w:t xml:space="preserve"> razdoblju nabavljeni novi dresovi za školska sportska natjecanja</w:t>
      </w:r>
      <w:r w:rsidR="00297663">
        <w:rPr>
          <w:noProof/>
          <w:szCs w:val="28"/>
        </w:rPr>
        <w:t xml:space="preserve">, a u tekućem nabavljeni uređaji za nastavni proces (za predmet prirode) </w:t>
      </w:r>
    </w:p>
    <w:p w:rsidR="00B0299B" w:rsidRDefault="00B0299B" w:rsidP="00B0299B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noProof/>
          <w:szCs w:val="28"/>
        </w:rPr>
        <w:lastRenderedPageBreak/>
        <w:t>Šifra 3227</w:t>
      </w:r>
      <w:r w:rsidR="007B737A">
        <w:rPr>
          <w:b/>
          <w:noProof/>
          <w:szCs w:val="28"/>
        </w:rPr>
        <w:t>:</w:t>
      </w:r>
      <w:r w:rsidR="007B737A">
        <w:rPr>
          <w:noProof/>
          <w:szCs w:val="28"/>
        </w:rPr>
        <w:t xml:space="preserve"> </w:t>
      </w:r>
      <w:r>
        <w:rPr>
          <w:noProof/>
          <w:szCs w:val="28"/>
        </w:rPr>
        <w:t>Službena, radna i zaštitna odjeća i obuća</w:t>
      </w:r>
      <w:r w:rsidR="007B737A">
        <w:rPr>
          <w:noProof/>
          <w:szCs w:val="28"/>
        </w:rPr>
        <w:t xml:space="preserve"> – </w:t>
      </w:r>
      <w:r w:rsidR="00FC45EE">
        <w:rPr>
          <w:noProof/>
          <w:szCs w:val="28"/>
        </w:rPr>
        <w:t>u tekućem razdoblju nabavljena oprema za učitelja TZK</w:t>
      </w:r>
    </w:p>
    <w:p w:rsidR="007B737A" w:rsidRDefault="00B0299B" w:rsidP="00B0299B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3231:</w:t>
      </w:r>
      <w:r>
        <w:rPr>
          <w:noProof/>
          <w:szCs w:val="28"/>
        </w:rPr>
        <w:t xml:space="preserve"> Usluge telefona, pošte i prijevoza – povećanje zbog usluge prijevoza (za izlete učenika) u tekućem razdoblju, a za kojima nije bilo potrebe u prethodnom razdoblju</w:t>
      </w:r>
    </w:p>
    <w:p w:rsidR="009624CC" w:rsidRDefault="00A44F31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9624CC">
        <w:rPr>
          <w:b/>
          <w:noProof/>
          <w:szCs w:val="28"/>
        </w:rPr>
        <w:t xml:space="preserve"> 3232:</w:t>
      </w:r>
      <w:r w:rsidR="009624CC">
        <w:rPr>
          <w:noProof/>
          <w:szCs w:val="28"/>
        </w:rPr>
        <w:t xml:space="preserve"> Usluge tekućeg i inves</w:t>
      </w:r>
      <w:r w:rsidR="007B737A">
        <w:rPr>
          <w:noProof/>
          <w:szCs w:val="28"/>
        </w:rPr>
        <w:t>ticijskog održavanja – u prethodnom</w:t>
      </w:r>
      <w:r w:rsidR="009624CC">
        <w:rPr>
          <w:noProof/>
          <w:szCs w:val="28"/>
        </w:rPr>
        <w:t xml:space="preserve"> razdoblju uređeni su parketi u 3 učionice, </w:t>
      </w:r>
      <w:r w:rsidR="007B737A">
        <w:rPr>
          <w:noProof/>
          <w:szCs w:val="28"/>
        </w:rPr>
        <w:t>a u tekućem sanirane udarne rupe na parkingu, uklonjena stabla lipe te odrađeni radovi na kanalizacijskom priključku za novu školsku kuhinju</w:t>
      </w:r>
    </w:p>
    <w:p w:rsidR="00B41367" w:rsidRPr="004D4918" w:rsidRDefault="00B41367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 w:rsidRPr="00B41367">
        <w:rPr>
          <w:b/>
          <w:noProof/>
          <w:szCs w:val="28"/>
        </w:rPr>
        <w:t>Šifra 3234:</w:t>
      </w:r>
      <w:r>
        <w:rPr>
          <w:noProof/>
          <w:szCs w:val="28"/>
        </w:rPr>
        <w:t xml:space="preserve"> Komunalne usluge – povećanje iznosa zbog povećanja cijena komunalnih usluga i naknada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3237:</w:t>
      </w:r>
      <w:r w:rsidR="00AD1A32">
        <w:rPr>
          <w:noProof/>
          <w:szCs w:val="28"/>
        </w:rPr>
        <w:t xml:space="preserve"> Intelektualne i osobne usluge –</w:t>
      </w:r>
      <w:r w:rsidR="00DE095B">
        <w:rPr>
          <w:noProof/>
          <w:szCs w:val="28"/>
        </w:rPr>
        <w:t xml:space="preserve"> </w:t>
      </w:r>
      <w:r w:rsidR="007B737A">
        <w:rPr>
          <w:noProof/>
          <w:szCs w:val="28"/>
        </w:rPr>
        <w:t>Škola je bila domaćin natjecanja Sigurno u prometu te je članovima povjerenstva isplaćena naknada prema sklopljenim ugovorima o djelu</w:t>
      </w:r>
      <w:r w:rsidR="00DE095B">
        <w:rPr>
          <w:noProof/>
          <w:szCs w:val="28"/>
        </w:rPr>
        <w:t>; reorganizacijom radnog vremena smanjeni su troškovi isplate po ugovoru o djelu za rad osobe u dvorani za potrebe vanjskih korisnika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3291:</w:t>
      </w:r>
      <w:r w:rsidR="00AD1A32">
        <w:rPr>
          <w:noProof/>
          <w:szCs w:val="28"/>
        </w:rPr>
        <w:t xml:space="preserve"> Naknade za rad predstavničkih i izvršnih tijela, povjerenstva i slično – Škola je bila domaćin natjecanja Sigurno u prometu i zaposlenici Škole bili su u povjerenstvima za provedbu </w:t>
      </w:r>
      <w:r w:rsidR="009624CC">
        <w:rPr>
          <w:noProof/>
          <w:szCs w:val="28"/>
        </w:rPr>
        <w:t xml:space="preserve">školskih i županijskih </w:t>
      </w:r>
      <w:r w:rsidR="007B737A">
        <w:rPr>
          <w:noProof/>
          <w:szCs w:val="28"/>
        </w:rPr>
        <w:t>natjecanja pa je u prethodnom</w:t>
      </w:r>
      <w:r w:rsidR="00AD1A32">
        <w:rPr>
          <w:noProof/>
          <w:szCs w:val="28"/>
        </w:rPr>
        <w:t xml:space="preserve"> razdoblju i bilo isplata naknade za rad u povje</w:t>
      </w:r>
      <w:r w:rsidR="009624CC">
        <w:rPr>
          <w:noProof/>
          <w:szCs w:val="28"/>
        </w:rPr>
        <w:t>renstvu istih</w:t>
      </w:r>
      <w:r w:rsidR="00DE095B">
        <w:rPr>
          <w:noProof/>
          <w:szCs w:val="28"/>
        </w:rPr>
        <w:t xml:space="preserve"> (u tekućem razdoblju te su isplate knjižene na konto 3237)</w:t>
      </w:r>
    </w:p>
    <w:p w:rsidR="009624CC" w:rsidRDefault="00A44F31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9624CC">
        <w:rPr>
          <w:b/>
          <w:noProof/>
          <w:szCs w:val="28"/>
        </w:rPr>
        <w:t xml:space="preserve"> 3295:</w:t>
      </w:r>
      <w:r w:rsidR="006A1A0D">
        <w:rPr>
          <w:noProof/>
          <w:szCs w:val="28"/>
        </w:rPr>
        <w:t xml:space="preserve"> </w:t>
      </w:r>
      <w:r w:rsidR="009624CC">
        <w:rPr>
          <w:noProof/>
          <w:szCs w:val="28"/>
        </w:rPr>
        <w:t xml:space="preserve">Pristojbe i naknade – </w:t>
      </w:r>
      <w:r w:rsidR="00DF548A">
        <w:rPr>
          <w:noProof/>
          <w:szCs w:val="28"/>
        </w:rPr>
        <w:t xml:space="preserve">iskazana naknada financirana od strane Ministarstva zbog nezapošljavanja invalida </w:t>
      </w:r>
    </w:p>
    <w:p w:rsidR="00B41367" w:rsidRPr="00B41367" w:rsidRDefault="00B41367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3296: </w:t>
      </w:r>
      <w:r>
        <w:rPr>
          <w:noProof/>
          <w:szCs w:val="28"/>
        </w:rPr>
        <w:t>Troškovi sudskih postupaka – u prethodnom razdoblju Škola je imala isplatu plaće po sudskoj presudi</w:t>
      </w:r>
    </w:p>
    <w:p w:rsidR="00DF548A" w:rsidRDefault="00A44F31" w:rsidP="00DF548A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DF548A">
        <w:rPr>
          <w:b/>
          <w:noProof/>
          <w:szCs w:val="28"/>
        </w:rPr>
        <w:t xml:space="preserve"> 3299:</w:t>
      </w:r>
      <w:r w:rsidR="00DF548A">
        <w:rPr>
          <w:noProof/>
          <w:szCs w:val="28"/>
        </w:rPr>
        <w:t xml:space="preserve"> Ostali nespomenuti rashodi poslovanja – svi rashodi koji nisu raspoređeni na ostala konta razreda 3 </w:t>
      </w:r>
    </w:p>
    <w:p w:rsidR="00B703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B70332">
        <w:rPr>
          <w:b/>
          <w:noProof/>
          <w:szCs w:val="28"/>
        </w:rPr>
        <w:t xml:space="preserve"> 3722: </w:t>
      </w:r>
      <w:r w:rsidR="00B70332">
        <w:rPr>
          <w:noProof/>
          <w:szCs w:val="28"/>
        </w:rPr>
        <w:t>Naknade građanima i k</w:t>
      </w:r>
      <w:r w:rsidR="002E58F2">
        <w:rPr>
          <w:noProof/>
          <w:szCs w:val="28"/>
        </w:rPr>
        <w:t>ućanstvima u naravi – nabava ra</w:t>
      </w:r>
      <w:r w:rsidR="00B41367">
        <w:rPr>
          <w:noProof/>
          <w:szCs w:val="28"/>
        </w:rPr>
        <w:t>dnih udžbenika</w:t>
      </w:r>
      <w:r w:rsidR="002E58F2">
        <w:rPr>
          <w:noProof/>
          <w:szCs w:val="28"/>
        </w:rPr>
        <w:t xml:space="preserve"> te nabavljene mensturalne higijenske potepštine za učenice (financirano od strane Ministarstva)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9661:</w:t>
      </w:r>
      <w:r>
        <w:rPr>
          <w:noProof/>
          <w:szCs w:val="28"/>
        </w:rPr>
        <w:t xml:space="preserve"> Obračunati prihodi od prodaje proizvoda i robe i pruženih usluga - nenaplaćeni – nisu podmireni svi izdani računi u prethodnom razdoblju, dok su u tekućem si računi plaćeni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C1299" w:rsidRPr="00B70332" w:rsidRDefault="002C1299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4221:</w:t>
      </w:r>
      <w:r>
        <w:rPr>
          <w:noProof/>
          <w:szCs w:val="28"/>
        </w:rPr>
        <w:t xml:space="preserve"> Uredska oprema i namještaj – naba</w:t>
      </w:r>
      <w:r w:rsidR="002E58F2">
        <w:rPr>
          <w:noProof/>
          <w:szCs w:val="28"/>
        </w:rPr>
        <w:t>vljen grafički tablet za nastavu matematike</w:t>
      </w:r>
    </w:p>
    <w:p w:rsidR="00B55B5B" w:rsidRDefault="002C1299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4241:</w:t>
      </w:r>
      <w:r>
        <w:rPr>
          <w:noProof/>
          <w:szCs w:val="28"/>
        </w:rPr>
        <w:t xml:space="preserve"> Knjige – nabava knjiga za knjižnicu</w:t>
      </w:r>
    </w:p>
    <w:p w:rsidR="002C1299" w:rsidRDefault="002C1299" w:rsidP="002C129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4312:</w:t>
      </w:r>
      <w:r>
        <w:rPr>
          <w:noProof/>
          <w:szCs w:val="28"/>
        </w:rPr>
        <w:t xml:space="preserve"> Udžbenici – nabava udžbenika za nastavu</w:t>
      </w:r>
    </w:p>
    <w:p w:rsidR="002E2B5C" w:rsidRDefault="002E2B5C" w:rsidP="002C129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C1299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Y004:</w:t>
      </w:r>
      <w:r>
        <w:rPr>
          <w:noProof/>
          <w:szCs w:val="28"/>
        </w:rPr>
        <w:t xml:space="preserve"> Ukupan manjak prihoda – škola na kraju izvještajnog razdoblja ostvaruje manjak prihoda koji će biti pokriveni prihodima ostvarenim u prethodnim razdobljima</w:t>
      </w:r>
    </w:p>
    <w:p w:rsidR="00B70332" w:rsidRDefault="00B70332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19:</w:t>
      </w:r>
      <w:r>
        <w:rPr>
          <w:noProof/>
          <w:szCs w:val="28"/>
        </w:rPr>
        <w:t xml:space="preserve"> Rashodi budućih razdoblja i nedospjela naplata prihoda – iznosi plaća, materijalnih prava i troškova prijevoza za mjesec prosinac 2023. godine</w:t>
      </w:r>
    </w:p>
    <w:p w:rsidR="00A22451" w:rsidRDefault="00A22451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B70332" w:rsidRDefault="00B70332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t>OBRAZAC BILANCA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BC2623" w:rsidRDefault="00BC2623" w:rsidP="002E2B5C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0212</w:t>
      </w:r>
      <w:r w:rsidR="00A22451">
        <w:rPr>
          <w:b/>
          <w:noProof/>
          <w:szCs w:val="28"/>
        </w:rPr>
        <w:t>, 0221 i 0241</w:t>
      </w:r>
      <w:r>
        <w:rPr>
          <w:b/>
          <w:noProof/>
          <w:szCs w:val="28"/>
        </w:rPr>
        <w:t xml:space="preserve">: </w:t>
      </w:r>
      <w:r w:rsidR="00A22451">
        <w:rPr>
          <w:noProof/>
          <w:szCs w:val="28"/>
        </w:rPr>
        <w:t>Poslovni objekti, Uredska oprema i namještaj</w:t>
      </w:r>
      <w:r>
        <w:rPr>
          <w:noProof/>
          <w:szCs w:val="28"/>
        </w:rPr>
        <w:t xml:space="preserve"> </w:t>
      </w:r>
      <w:r w:rsidR="00A22451">
        <w:rPr>
          <w:noProof/>
          <w:szCs w:val="28"/>
        </w:rPr>
        <w:t>te Knjige</w:t>
      </w:r>
      <w:r w:rsidR="00677DFE">
        <w:rPr>
          <w:noProof/>
          <w:szCs w:val="28"/>
        </w:rPr>
        <w:t xml:space="preserve"> </w:t>
      </w:r>
      <w:r>
        <w:rPr>
          <w:noProof/>
          <w:szCs w:val="28"/>
        </w:rPr>
        <w:t xml:space="preserve">– povećanje zbog dodatnih ulaganja na zgradi Škole i nabave nove opreme za školsku </w:t>
      </w:r>
      <w:r>
        <w:rPr>
          <w:noProof/>
          <w:szCs w:val="28"/>
        </w:rPr>
        <w:lastRenderedPageBreak/>
        <w:t>kuhinju</w:t>
      </w:r>
      <w:r w:rsidR="00A22451">
        <w:rPr>
          <w:noProof/>
          <w:szCs w:val="28"/>
        </w:rPr>
        <w:t>, nabave opreme te knjiga i udžbenika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22451">
        <w:rPr>
          <w:b/>
          <w:noProof/>
          <w:szCs w:val="28"/>
        </w:rPr>
        <w:t xml:space="preserve"> 0225</w:t>
      </w:r>
      <w:r>
        <w:rPr>
          <w:b/>
          <w:noProof/>
          <w:szCs w:val="28"/>
        </w:rPr>
        <w:t xml:space="preserve">: </w:t>
      </w:r>
      <w:r>
        <w:rPr>
          <w:noProof/>
          <w:szCs w:val="28"/>
        </w:rPr>
        <w:t>Instrumenti, uređ</w:t>
      </w:r>
      <w:r w:rsidR="00A22451">
        <w:rPr>
          <w:noProof/>
          <w:szCs w:val="28"/>
        </w:rPr>
        <w:t>aji i strojevi</w:t>
      </w:r>
      <w:r>
        <w:rPr>
          <w:noProof/>
          <w:szCs w:val="28"/>
        </w:rPr>
        <w:t xml:space="preserve"> – smanjenje zbog otpisa sredstava po </w:t>
      </w:r>
      <w:r w:rsidR="00A22451">
        <w:rPr>
          <w:noProof/>
          <w:szCs w:val="28"/>
        </w:rPr>
        <w:t>završenoj inventuri za 2022</w:t>
      </w:r>
      <w:r>
        <w:rPr>
          <w:noProof/>
          <w:szCs w:val="28"/>
        </w:rPr>
        <w:t>. godinu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1111: </w:t>
      </w:r>
      <w:r w:rsidR="0033419B">
        <w:rPr>
          <w:noProof/>
          <w:szCs w:val="28"/>
        </w:rPr>
        <w:t>Novac na računu kod Hrvatske narodne banke – s</w:t>
      </w:r>
      <w:r w:rsidR="00A22451">
        <w:rPr>
          <w:noProof/>
          <w:szCs w:val="28"/>
        </w:rPr>
        <w:t>tanje na žiro računu Škole na dan 31.12.2023. godine</w:t>
      </w:r>
      <w:r>
        <w:rPr>
          <w:noProof/>
          <w:szCs w:val="28"/>
        </w:rPr>
        <w:t>.</w:t>
      </w:r>
    </w:p>
    <w:p w:rsidR="002E2B5C" w:rsidRDefault="00A71469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</w:t>
      </w:r>
      <w:r w:rsidR="002E2B5C">
        <w:rPr>
          <w:b/>
          <w:noProof/>
          <w:szCs w:val="28"/>
        </w:rPr>
        <w:t>113:</w:t>
      </w:r>
      <w:r w:rsidR="002E2B5C">
        <w:rPr>
          <w:noProof/>
          <w:szCs w:val="28"/>
        </w:rPr>
        <w:t xml:space="preserve"> Novac u blagajni – s</w:t>
      </w:r>
      <w:r w:rsidR="00A22451">
        <w:rPr>
          <w:noProof/>
          <w:szCs w:val="28"/>
        </w:rPr>
        <w:t xml:space="preserve">tanje </w:t>
      </w:r>
      <w:r w:rsidR="0033419B">
        <w:rPr>
          <w:noProof/>
          <w:szCs w:val="28"/>
        </w:rPr>
        <w:t>gotovine u blagajni na dan 31.12.2023. godine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129:</w:t>
      </w:r>
      <w:r>
        <w:rPr>
          <w:noProof/>
          <w:szCs w:val="28"/>
        </w:rPr>
        <w:t xml:space="preserve"> Iznos naknade potraživanja od HZZO-a za refundaciju bolovanja – u tekućem razdoblju </w:t>
      </w:r>
      <w:r w:rsidR="008E6FA3">
        <w:rPr>
          <w:noProof/>
          <w:szCs w:val="28"/>
        </w:rPr>
        <w:t xml:space="preserve">povećani iznos zbog više </w:t>
      </w:r>
      <w:r w:rsidR="00677DFE">
        <w:rPr>
          <w:noProof/>
          <w:szCs w:val="28"/>
        </w:rPr>
        <w:t xml:space="preserve">bolovanja zaposlenika na teret HZZO-a, no kroz razdoblje je i bio </w:t>
      </w:r>
      <w:r>
        <w:rPr>
          <w:noProof/>
          <w:szCs w:val="28"/>
        </w:rPr>
        <w:t>otp</w:t>
      </w:r>
      <w:r w:rsidR="00677DFE">
        <w:rPr>
          <w:noProof/>
          <w:szCs w:val="28"/>
        </w:rPr>
        <w:t>isan</w:t>
      </w:r>
      <w:r w:rsidR="00A71469">
        <w:rPr>
          <w:noProof/>
          <w:szCs w:val="28"/>
        </w:rPr>
        <w:t xml:space="preserve"> dio potraživanja za 2021. i 2022</w:t>
      </w:r>
      <w:r>
        <w:rPr>
          <w:noProof/>
          <w:szCs w:val="28"/>
        </w:rPr>
        <w:t>. godinu temeljem odluke HZZO-a</w:t>
      </w:r>
    </w:p>
    <w:p w:rsidR="004479A1" w:rsidRDefault="004479A1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92222</w:t>
      </w:r>
      <w:r>
        <w:rPr>
          <w:b/>
          <w:noProof/>
          <w:szCs w:val="28"/>
        </w:rPr>
        <w:t>:</w:t>
      </w:r>
      <w:r>
        <w:rPr>
          <w:noProof/>
          <w:szCs w:val="28"/>
        </w:rPr>
        <w:t xml:space="preserve"> </w:t>
      </w:r>
      <w:r>
        <w:rPr>
          <w:noProof/>
          <w:szCs w:val="28"/>
        </w:rPr>
        <w:t>Manjak prihoda od nefinancijske imovine</w:t>
      </w:r>
      <w:r>
        <w:rPr>
          <w:noProof/>
          <w:szCs w:val="28"/>
        </w:rPr>
        <w:t xml:space="preserve"> –</w:t>
      </w:r>
      <w:r>
        <w:rPr>
          <w:noProof/>
          <w:szCs w:val="28"/>
        </w:rPr>
        <w:t xml:space="preserve"> Škola je tekuće razdoblje završila s manjkom prihoda koji će biti pokriven viškovima iz prethodnih razdooblja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996: </w:t>
      </w:r>
      <w:r>
        <w:rPr>
          <w:noProof/>
          <w:szCs w:val="28"/>
        </w:rPr>
        <w:t xml:space="preserve">U </w:t>
      </w:r>
      <w:r w:rsidR="00677DFE">
        <w:rPr>
          <w:noProof/>
          <w:szCs w:val="28"/>
        </w:rPr>
        <w:t>izvanbilančnim evidencijama vodili su</w:t>
      </w:r>
      <w:r>
        <w:rPr>
          <w:noProof/>
          <w:szCs w:val="28"/>
        </w:rPr>
        <w:t xml:space="preserve"> se tableti za učenike te laptopi za učitelje i projektori dobiveni na korištenje, a koji su </w:t>
      </w:r>
      <w:r w:rsidR="00677DFE">
        <w:rPr>
          <w:noProof/>
          <w:szCs w:val="28"/>
        </w:rPr>
        <w:t>bili u vlasništvu MZO-a,</w:t>
      </w:r>
      <w:r>
        <w:rPr>
          <w:noProof/>
          <w:szCs w:val="28"/>
        </w:rPr>
        <w:t xml:space="preserve"> </w:t>
      </w:r>
      <w:r w:rsidR="00677DFE">
        <w:rPr>
          <w:noProof/>
          <w:szCs w:val="28"/>
        </w:rPr>
        <w:t>kao i STEM Box te</w:t>
      </w:r>
      <w:r>
        <w:rPr>
          <w:noProof/>
          <w:szCs w:val="28"/>
        </w:rPr>
        <w:t xml:space="preserve"> </w:t>
      </w:r>
      <w:r w:rsidR="00677DFE">
        <w:rPr>
          <w:noProof/>
          <w:szCs w:val="28"/>
        </w:rPr>
        <w:t>robot oprema</w:t>
      </w:r>
      <w:r>
        <w:rPr>
          <w:noProof/>
          <w:szCs w:val="28"/>
        </w:rPr>
        <w:t xml:space="preserve"> u sklopu IRIM projekta (informatika)</w:t>
      </w:r>
      <w:r w:rsidR="00677DFE">
        <w:rPr>
          <w:noProof/>
          <w:szCs w:val="28"/>
        </w:rPr>
        <w:t xml:space="preserve"> koji su Odlukom preneseni u vlasništvo Škole. Škola je od CARNET-a na korištenje dobila grafički tablet, set za studijsko snimanje, interaktivni senzor, 3D printer, set za programiranje na bazi mikromodula, mali set za uvod elektroniku i programiranje, interaktivni senzor na dodir, prijenosna računala ACER te ormar za punjenje. Navedena oprema vodi se u izvanbilančnoj evidenciji.</w:t>
      </w:r>
    </w:p>
    <w:p w:rsidR="002E2B5C" w:rsidRPr="00400907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421"/>
        <w:gridCol w:w="4819"/>
        <w:gridCol w:w="1565"/>
        <w:gridCol w:w="1690"/>
      </w:tblGrid>
      <w:tr w:rsidR="002E2B5C" w:rsidTr="00507499">
        <w:trPr>
          <w:jc w:val="right"/>
        </w:trPr>
        <w:tc>
          <w:tcPr>
            <w:tcW w:w="8495" w:type="dxa"/>
            <w:gridSpan w:val="4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IZVANBILANČA EVIDENCIJA</w:t>
            </w:r>
          </w:p>
        </w:tc>
      </w:tr>
      <w:tr w:rsidR="002E2B5C" w:rsidTr="00677DFE">
        <w:trPr>
          <w:jc w:val="right"/>
        </w:trPr>
        <w:tc>
          <w:tcPr>
            <w:tcW w:w="421" w:type="dxa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1.</w:t>
            </w:r>
          </w:p>
        </w:tc>
        <w:tc>
          <w:tcPr>
            <w:tcW w:w="4819" w:type="dxa"/>
            <w:vAlign w:val="center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Tuđa imovina na korištenju (tableti, laptopi, projektori</w:t>
            </w:r>
            <w:r w:rsidR="00677DFE">
              <w:rPr>
                <w:noProof/>
                <w:szCs w:val="28"/>
              </w:rPr>
              <w:t>, STEM Box, robot</w:t>
            </w:r>
            <w:r>
              <w:rPr>
                <w:noProof/>
                <w:szCs w:val="28"/>
              </w:rPr>
              <w:t>) – početno stanje</w:t>
            </w:r>
          </w:p>
        </w:tc>
        <w:tc>
          <w:tcPr>
            <w:tcW w:w="1565" w:type="dxa"/>
            <w:vAlign w:val="center"/>
          </w:tcPr>
          <w:p w:rsidR="002E2B5C" w:rsidRDefault="002E2B5C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2E2B5C" w:rsidRPr="006D18F2" w:rsidRDefault="00677DFE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22.865,19 eur</w:t>
            </w:r>
            <w:r w:rsidR="002E2B5C">
              <w:rPr>
                <w:noProof/>
                <w:szCs w:val="28"/>
              </w:rPr>
              <w:t xml:space="preserve"> </w:t>
            </w:r>
          </w:p>
        </w:tc>
      </w:tr>
      <w:tr w:rsidR="002E2B5C" w:rsidTr="00677DFE">
        <w:trPr>
          <w:jc w:val="right"/>
        </w:trPr>
        <w:tc>
          <w:tcPr>
            <w:tcW w:w="421" w:type="dxa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2.</w:t>
            </w:r>
          </w:p>
        </w:tc>
        <w:tc>
          <w:tcPr>
            <w:tcW w:w="4819" w:type="dxa"/>
            <w:vAlign w:val="center"/>
          </w:tcPr>
          <w:p w:rsidR="002E2B5C" w:rsidRDefault="00677DFE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Tuđa imovina Odlukom MZO-a i CARNET-a dana u vlasništvo Školi</w:t>
            </w:r>
            <w:r w:rsidR="002E2B5C">
              <w:rPr>
                <w:noProof/>
                <w:szCs w:val="28"/>
              </w:rPr>
              <w:t xml:space="preserve"> – smanjenje</w:t>
            </w:r>
          </w:p>
        </w:tc>
        <w:tc>
          <w:tcPr>
            <w:tcW w:w="1565" w:type="dxa"/>
            <w:vAlign w:val="center"/>
          </w:tcPr>
          <w:p w:rsidR="002E2B5C" w:rsidRDefault="00677DFE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22.865,19 eur</w:t>
            </w:r>
          </w:p>
        </w:tc>
        <w:tc>
          <w:tcPr>
            <w:tcW w:w="1690" w:type="dxa"/>
            <w:vAlign w:val="center"/>
          </w:tcPr>
          <w:p w:rsidR="002E2B5C" w:rsidRDefault="002E2B5C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</w:tr>
      <w:tr w:rsidR="002E2B5C" w:rsidTr="00677DFE">
        <w:trPr>
          <w:jc w:val="right"/>
        </w:trPr>
        <w:tc>
          <w:tcPr>
            <w:tcW w:w="421" w:type="dxa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3.</w:t>
            </w:r>
          </w:p>
        </w:tc>
        <w:tc>
          <w:tcPr>
            <w:tcW w:w="4819" w:type="dxa"/>
            <w:vAlign w:val="center"/>
          </w:tcPr>
          <w:p w:rsidR="002E2B5C" w:rsidRDefault="002E2B5C" w:rsidP="00677DF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Oprema dobivena na korištenje (</w:t>
            </w:r>
            <w:r w:rsidR="00677DFE">
              <w:rPr>
                <w:noProof/>
                <w:szCs w:val="28"/>
              </w:rPr>
              <w:t xml:space="preserve">CARNET e-Škole) </w:t>
            </w:r>
            <w:r>
              <w:rPr>
                <w:noProof/>
                <w:szCs w:val="28"/>
              </w:rPr>
              <w:t>– povećanje</w:t>
            </w:r>
          </w:p>
        </w:tc>
        <w:tc>
          <w:tcPr>
            <w:tcW w:w="1565" w:type="dxa"/>
            <w:vAlign w:val="center"/>
          </w:tcPr>
          <w:p w:rsidR="002E2B5C" w:rsidRDefault="002E2B5C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2E2B5C" w:rsidRDefault="00677DFE" w:rsidP="00677DFE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19.713,32 eur</w:t>
            </w:r>
          </w:p>
        </w:tc>
      </w:tr>
      <w:tr w:rsidR="002E2B5C" w:rsidTr="00677DFE">
        <w:trPr>
          <w:jc w:val="right"/>
        </w:trPr>
        <w:tc>
          <w:tcPr>
            <w:tcW w:w="5240" w:type="dxa"/>
            <w:gridSpan w:val="2"/>
          </w:tcPr>
          <w:p w:rsidR="002E2B5C" w:rsidRDefault="002E2B5C" w:rsidP="00507499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UKUPNO:</w:t>
            </w:r>
          </w:p>
        </w:tc>
        <w:tc>
          <w:tcPr>
            <w:tcW w:w="3255" w:type="dxa"/>
            <w:gridSpan w:val="2"/>
          </w:tcPr>
          <w:p w:rsidR="002E2B5C" w:rsidRDefault="00677DFE" w:rsidP="00507499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19.713,32 eur</w:t>
            </w:r>
          </w:p>
        </w:tc>
      </w:tr>
    </w:tbl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Pr="00F35C43" w:rsidRDefault="002E2B5C" w:rsidP="002E2B5C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  <w:r w:rsidRPr="00A44F31">
        <w:rPr>
          <w:b/>
          <w:i/>
          <w:noProof/>
        </w:rPr>
        <w:t>Napomena</w:t>
      </w:r>
      <w:r w:rsidRPr="00F35C43">
        <w:rPr>
          <w:b/>
          <w:noProof/>
        </w:rPr>
        <w:t xml:space="preserve">: </w:t>
      </w:r>
      <w:r w:rsidRPr="00F35C43">
        <w:rPr>
          <w:noProof/>
        </w:rPr>
        <w:t xml:space="preserve">Škola </w:t>
      </w:r>
      <w:r w:rsidRPr="00F35C43">
        <w:t xml:space="preserve">tijekom izvještajnog razdoblja nije koristila nikakve zajmove ili kredite te nije stupila u nikakve ugovorne odnose i slično koji mogu postati obveza ili imovina. </w:t>
      </w:r>
      <w:r w:rsidRPr="00F35C43">
        <w:rPr>
          <w:b/>
          <w:u w:val="single"/>
        </w:rPr>
        <w:t xml:space="preserve"> 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i/>
          <w:noProof/>
          <w:szCs w:val="28"/>
          <w:u w:val="single"/>
        </w:rPr>
        <w:t>OBRAZAC RAS-funkcijski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0912:</w:t>
      </w:r>
      <w:r>
        <w:rPr>
          <w:noProof/>
          <w:szCs w:val="28"/>
        </w:rPr>
        <w:t xml:space="preserve"> Rashodi koji se odnose na sustav obrazovanja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096: </w:t>
      </w:r>
      <w:r>
        <w:rPr>
          <w:noProof/>
          <w:szCs w:val="28"/>
        </w:rPr>
        <w:t xml:space="preserve">Rashodi školske kuhinje koju su u tekućem razdoblju veći u odnosu na prethodno razdoblje iz razloga što je </w:t>
      </w:r>
      <w:r w:rsidR="004479A1">
        <w:rPr>
          <w:noProof/>
          <w:szCs w:val="28"/>
        </w:rPr>
        <w:t>povećana cijena obroka, što dovodi i do povećanih troškova za naba</w:t>
      </w:r>
      <w:r w:rsidR="00B626DE">
        <w:rPr>
          <w:noProof/>
          <w:szCs w:val="28"/>
        </w:rPr>
        <w:t>v</w:t>
      </w:r>
      <w:r w:rsidR="004479A1">
        <w:rPr>
          <w:noProof/>
          <w:szCs w:val="28"/>
        </w:rPr>
        <w:t>u namirnica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E90AF5" w:rsidRDefault="00E90AF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E90AF5" w:rsidRDefault="00E90AF5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lastRenderedPageBreak/>
        <w:t>OBRAZAC P-VRIO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noProof/>
          <w:szCs w:val="28"/>
        </w:rPr>
        <w:t>Povećanje vrijednosti dugotrajne imovine zbog dodatnih ulaganja na obnovi Škole (</w:t>
      </w:r>
      <w:r w:rsidR="00B626DE">
        <w:rPr>
          <w:noProof/>
          <w:szCs w:val="28"/>
        </w:rPr>
        <w:t xml:space="preserve">uređenje bivših prostorija kuhinje i blagovaonice) </w:t>
      </w:r>
      <w:r>
        <w:rPr>
          <w:noProof/>
          <w:szCs w:val="28"/>
        </w:rPr>
        <w:t>od Međimurske županije</w:t>
      </w:r>
      <w:r w:rsidR="00B626DE">
        <w:rPr>
          <w:noProof/>
          <w:szCs w:val="28"/>
        </w:rPr>
        <w:t>, prijenos vrijednosti opreme u vlaništvo Škole od MZO i CARNET-a, nabava udžbenika, knjiga. Smanjenje vrijednosti zbog otpisa temeljem provedene inventure za 2022. godinu.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t>OBRAZAC OBVEZE</w:t>
      </w:r>
    </w:p>
    <w:p w:rsidR="002E2B5C" w:rsidRDefault="002E2B5C" w:rsidP="002E2B5C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V007:</w:t>
      </w:r>
      <w:r>
        <w:rPr>
          <w:noProof/>
          <w:szCs w:val="28"/>
        </w:rPr>
        <w:t xml:space="preserve"> Stanje dospjelih obveza na kraju izvještajnog razdoblja su obveze iz redovnog poslovanja a sastoje se od obveza za materijalne i financijske rashode te za ostale tekuće obveze. Obveze se odnose na troškove nastale u mjesecu prosincu a u potpunosti će biti podmirene u mjesecu siječnju.</w:t>
      </w:r>
    </w:p>
    <w:p w:rsidR="002E2B5C" w:rsidRDefault="002E2B5C" w:rsidP="002E2B5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V009:</w:t>
      </w:r>
      <w:r>
        <w:rPr>
          <w:noProof/>
          <w:szCs w:val="28"/>
        </w:rPr>
        <w:t xml:space="preserve"> Stanje nedospjelih obveza na kraju izvještajnog razdoblja su obveze za obračunate plaće, materijalna prava </w:t>
      </w:r>
      <w:r w:rsidR="00B626DE">
        <w:rPr>
          <w:noProof/>
          <w:szCs w:val="28"/>
        </w:rPr>
        <w:t>i prijevoz zaposlenih za 12/2023</w:t>
      </w:r>
      <w:r>
        <w:rPr>
          <w:noProof/>
          <w:szCs w:val="28"/>
        </w:rPr>
        <w:t xml:space="preserve"> a b</w:t>
      </w:r>
      <w:r w:rsidR="00B626DE">
        <w:rPr>
          <w:noProof/>
          <w:szCs w:val="28"/>
        </w:rPr>
        <w:t>iti će podmirene u siječnju 2024</w:t>
      </w:r>
      <w:r>
        <w:rPr>
          <w:noProof/>
          <w:szCs w:val="28"/>
        </w:rPr>
        <w:t>. godine.</w:t>
      </w:r>
    </w:p>
    <w:p w:rsidR="002E2B5C" w:rsidRDefault="002E2B5C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A44F31" w:rsidRDefault="00A44F31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174283" w:rsidRDefault="00174283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3118E6" w:rsidRDefault="003118E6" w:rsidP="00AD1A32">
      <w:pPr>
        <w:widowControl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AD1A32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>
        <w:rPr>
          <w:noProof/>
          <w:szCs w:val="28"/>
        </w:rPr>
        <w:t>U Go</w:t>
      </w:r>
      <w:r w:rsidR="00843D94">
        <w:rPr>
          <w:noProof/>
          <w:szCs w:val="28"/>
        </w:rPr>
        <w:t xml:space="preserve">ričanu, </w:t>
      </w:r>
      <w:r w:rsidR="002E2B5C">
        <w:rPr>
          <w:noProof/>
          <w:szCs w:val="28"/>
        </w:rPr>
        <w:t>31.1.2024</w:t>
      </w:r>
      <w:r w:rsidR="00AD1A32" w:rsidRPr="003D7F6E">
        <w:rPr>
          <w:noProof/>
          <w:szCs w:val="28"/>
        </w:rPr>
        <w:t>.</w:t>
      </w:r>
    </w:p>
    <w:p w:rsidR="00EF29C0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Ime i prezime osobe odgovorne                              Ime i prezime ovlaštene osobe za</w:t>
      </w: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za sastavljanje FI:                                                    potpisivanje FI:</w:t>
      </w: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__________________________                             ___________________________</w:t>
      </w:r>
    </w:p>
    <w:p w:rsidR="00EF29C0" w:rsidRDefault="00EF29C0" w:rsidP="00A44F31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Snježana Markušić                                                  Zlatko Varošanec</w:t>
      </w:r>
    </w:p>
    <w:p w:rsidR="00314870" w:rsidRPr="00A44F31" w:rsidRDefault="00314870" w:rsidP="00A44F31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CF6746" w:rsidRPr="00A44F31" w:rsidRDefault="00EF29C0" w:rsidP="00ED68CE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A44F31">
        <w:rPr>
          <w:noProof/>
          <w:szCs w:val="28"/>
        </w:rPr>
        <w:t>Telefon za kontakt: 040/601-160</w:t>
      </w:r>
    </w:p>
    <w:sectPr w:rsidR="00CF6746" w:rsidRPr="00A44F31">
      <w:pgSz w:w="11905" w:h="16837" w:code="9"/>
      <w:pgMar w:top="1439" w:right="1700" w:bottom="1439" w:left="17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B3A"/>
    <w:multiLevelType w:val="hybridMultilevel"/>
    <w:tmpl w:val="5B18203E"/>
    <w:lvl w:ilvl="0" w:tplc="5FEE93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77"/>
    <w:rsid w:val="00015AF6"/>
    <w:rsid w:val="000623A3"/>
    <w:rsid w:val="000A2F11"/>
    <w:rsid w:val="000C4F92"/>
    <w:rsid w:val="00147698"/>
    <w:rsid w:val="00174283"/>
    <w:rsid w:val="00297663"/>
    <w:rsid w:val="002C1299"/>
    <w:rsid w:val="002E2B5C"/>
    <w:rsid w:val="002E58F2"/>
    <w:rsid w:val="003118E6"/>
    <w:rsid w:val="00314870"/>
    <w:rsid w:val="0033419B"/>
    <w:rsid w:val="00335716"/>
    <w:rsid w:val="00342F5B"/>
    <w:rsid w:val="00361A1C"/>
    <w:rsid w:val="00385C54"/>
    <w:rsid w:val="003D1A98"/>
    <w:rsid w:val="003E0EF0"/>
    <w:rsid w:val="00400907"/>
    <w:rsid w:val="004479A1"/>
    <w:rsid w:val="0046727F"/>
    <w:rsid w:val="00561577"/>
    <w:rsid w:val="00594A1C"/>
    <w:rsid w:val="00677DFE"/>
    <w:rsid w:val="006A1A0D"/>
    <w:rsid w:val="006D18F2"/>
    <w:rsid w:val="0075163E"/>
    <w:rsid w:val="007B3661"/>
    <w:rsid w:val="007B737A"/>
    <w:rsid w:val="007F1C47"/>
    <w:rsid w:val="008239BD"/>
    <w:rsid w:val="00843D94"/>
    <w:rsid w:val="00866806"/>
    <w:rsid w:val="00897129"/>
    <w:rsid w:val="008E1439"/>
    <w:rsid w:val="008E6FA3"/>
    <w:rsid w:val="009624CC"/>
    <w:rsid w:val="00A06597"/>
    <w:rsid w:val="00A22451"/>
    <w:rsid w:val="00A44F31"/>
    <w:rsid w:val="00A71469"/>
    <w:rsid w:val="00AA6062"/>
    <w:rsid w:val="00AB746D"/>
    <w:rsid w:val="00AD1A32"/>
    <w:rsid w:val="00B0299B"/>
    <w:rsid w:val="00B41367"/>
    <w:rsid w:val="00B55B5B"/>
    <w:rsid w:val="00B626DE"/>
    <w:rsid w:val="00B70332"/>
    <w:rsid w:val="00BC2623"/>
    <w:rsid w:val="00C0405A"/>
    <w:rsid w:val="00C75508"/>
    <w:rsid w:val="00CF29FE"/>
    <w:rsid w:val="00CF6746"/>
    <w:rsid w:val="00D74701"/>
    <w:rsid w:val="00DE095B"/>
    <w:rsid w:val="00DF548A"/>
    <w:rsid w:val="00E90AF5"/>
    <w:rsid w:val="00EC04DE"/>
    <w:rsid w:val="00ED68CE"/>
    <w:rsid w:val="00EF29C0"/>
    <w:rsid w:val="00F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F37B"/>
  <w15:chartTrackingRefBased/>
  <w15:docId w15:val="{E39EC4DD-E233-4C4D-A3EB-32AF8937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Goričan</dc:creator>
  <cp:keywords/>
  <dc:description/>
  <cp:lastModifiedBy>Oš Goričan</cp:lastModifiedBy>
  <cp:revision>26</cp:revision>
  <dcterms:created xsi:type="dcterms:W3CDTF">2022-07-08T12:25:00Z</dcterms:created>
  <dcterms:modified xsi:type="dcterms:W3CDTF">2024-01-30T10:13:00Z</dcterms:modified>
</cp:coreProperties>
</file>